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A658">
      <w:pPr>
        <w:spacing w:line="560" w:lineRule="exact"/>
        <w:rPr>
          <w:rFonts w:hint="default"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4</w:t>
      </w:r>
    </w:p>
    <w:p w14:paraId="1D56F168">
      <w:pPr>
        <w:pStyle w:val="2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大中小学法治情景剧比赛</w:t>
      </w:r>
      <w:r>
        <w:rPr>
          <w:rFonts w:hint="default" w:ascii="Times New Roman" w:hAnsi="Times New Roman" w:cs="Times New Roman"/>
          <w:lang w:val="en-US" w:eastAsia="zh-CN"/>
        </w:rPr>
        <w:t>赛制</w:t>
      </w:r>
    </w:p>
    <w:p w14:paraId="212EE7E6">
      <w:pPr>
        <w:spacing w:line="560" w:lineRule="exact"/>
        <w:rPr>
          <w:rFonts w:hint="default" w:ascii="Times New Roman" w:hAnsi="Times New Roman" w:cs="Times New Roman"/>
        </w:rPr>
      </w:pPr>
    </w:p>
    <w:p w14:paraId="75198864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参赛对象与组别</w:t>
      </w:r>
    </w:p>
    <w:p w14:paraId="5F5CFEE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本次法治情景剧比赛面向教育系统各级各类学校开展，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以学校为单位参赛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分为中小学（含中职）、高校（含高职）2个组别。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中小学（含中职）组参赛选手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应为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小学、初中、高中、中职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全日制在校生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，高校（含高职）组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应为全日制普通高校的本科生、专科生或研究生。</w:t>
      </w:r>
    </w:p>
    <w:p w14:paraId="20C44466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、参赛要求</w:t>
      </w:r>
    </w:p>
    <w:p w14:paraId="40E76B1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（一）内容要求。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情景剧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创作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深入学习贯彻习近平法治思想，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以弘扬社会主义核心价值观为主线，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以宪法、民法典为重点，以正面引导为主，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主题鲜明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紧扣法治，内容健康、积极向上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情节连贯、剧情合理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情感真实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有理有法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，矛盾冲突设计自然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避免内容冗余拖沓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通过生动的故事演绎传递法治正能量，展现法治重要作用。</w:t>
      </w:r>
    </w:p>
    <w:p w14:paraId="251D4370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（二）形式要求。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参赛作品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以情景剧的形式展现，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要求为2025年新创作录制的情景剧视频，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中小学组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长度为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10-15分钟，高校组长度为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分钟，高清1920*1080横屏拍摄，MP4格式（大小不超过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GB），图像、声音清晰。视频作品须视频原声，不得后期配音。录制仅限一个场地，不得切换多个场地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但可以切换多个场景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。情景剧作品须配套剧本。</w:t>
      </w:r>
    </w:p>
    <w:p w14:paraId="10FDC9C7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（三）其他要求</w:t>
      </w:r>
    </w:p>
    <w:p w14:paraId="78A2F4BF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1.参赛队伍学生数量控制在15人以内，每只参赛队伍可配备不超过3名指导教师。</w:t>
      </w:r>
    </w:p>
    <w:p w14:paraId="2422D311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2.情景剧所用道具简洁，方便携带。作品所需音乐、服装、布景、化妆等由参赛单位自行准备。</w:t>
      </w:r>
    </w:p>
    <w:p w14:paraId="4BAD5E7A">
      <w:pPr>
        <w:numPr>
          <w:ilvl w:val="-1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3.各参赛队伍负责各自节目编创等工作，参赛作品的剧本应是原创作品，须拥有完全知识产权，不得抄袭、模仿。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一经发现并确认参赛选手存在抄袭或者其他违反比赛纪律行为的，组委会有权取消其参赛资格，已经获得奖项的，撤销其奖项，并通报其所在单位。</w:t>
      </w:r>
    </w:p>
    <w:p w14:paraId="42DB735D">
      <w:pPr>
        <w:numPr>
          <w:ilvl w:val="-1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视频中不得使用未经肖像权人同意的肖像，不得使用未经授权的图片、视频和音频等，不得出现与情景剧比赛无关的条幅、标识、商业广告等。</w:t>
      </w:r>
    </w:p>
    <w:p w14:paraId="28D10608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一经参赛，即默认主办方拥有本次活动形成的文字、图片、音像等作品的纸媒宣传、广播电视、云平台等全媒体播放权及展示、出版或发行权。拥有在相关非营利性公益活动中无偿使用参演作品各种资料的权利。</w:t>
      </w:r>
    </w:p>
    <w:p w14:paraId="0099F4F3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、赛程安排</w:t>
      </w:r>
    </w:p>
    <w:p w14:paraId="661C579B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初赛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 w14:paraId="5D892FA6">
      <w:pPr>
        <w:numPr>
          <w:ilvl w:val="-1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各省级教育行政部门组织开展地方比赛，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动员各级各类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学校开展法治情景剧编排、展演活动，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遴选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优秀作品参与全国总决赛。各省级教育行政部门可分别推荐中小学（含中职）、高校（含高职）各1个作品（共2个）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全国总决赛。各省级教育部门请于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日前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将推荐的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情景剧视频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剧本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word和pdf格式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青少年普法网（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报送方式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通知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）。</w:t>
      </w:r>
    </w:p>
    <w:p w14:paraId="767D96FE">
      <w:pPr>
        <w:overflowPunct/>
        <w:adjustRightInd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中央部属高校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直接向青少年普法网报送作品参赛（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报送方式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），无需通过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所在地参与省（区、市）比赛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中央部属高校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最多可报送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1个作品。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报送时间为7月15日前。</w:t>
      </w:r>
    </w:p>
    <w:p w14:paraId="046EB498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总决赛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月30日前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 w14:paraId="6273B7E4">
      <w:pPr>
        <w:ind w:firstLine="640" w:firstLineChars="200"/>
        <w:outlineLvl w:val="0"/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本次比赛开设地方比赛和中央部属高校报送两个通道。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组委会将对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各省推荐参加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总决赛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和各中央部属高校报送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的作品及参赛材料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选手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参赛资格等进行复审，并择优遴选各组别优秀作品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入围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全国总决赛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现场赛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bidi="ar"/>
        </w:rPr>
        <w:t>（时间地点另行通知）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75621662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</w:p>
    <w:p w14:paraId="164F816A">
      <w:pPr>
        <w:spacing w:line="560" w:lineRule="exact"/>
        <w:rPr>
          <w:rFonts w:hint="default" w:ascii="Times New Roman" w:hAnsi="Times New Roman" w:cs="Times New Roman"/>
        </w:rPr>
      </w:pPr>
    </w:p>
    <w:p w14:paraId="1DBCD29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768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401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401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C71"/>
    <w:rsid w:val="03CC34FF"/>
    <w:rsid w:val="0E1D1CFC"/>
    <w:rsid w:val="136D29F5"/>
    <w:rsid w:val="13FB45D6"/>
    <w:rsid w:val="184E6EF6"/>
    <w:rsid w:val="1C1A5B69"/>
    <w:rsid w:val="230C030B"/>
    <w:rsid w:val="28650452"/>
    <w:rsid w:val="2DDD2785"/>
    <w:rsid w:val="307A0518"/>
    <w:rsid w:val="343D5340"/>
    <w:rsid w:val="37FB204D"/>
    <w:rsid w:val="3DA82DB4"/>
    <w:rsid w:val="41FC6890"/>
    <w:rsid w:val="4B6940A7"/>
    <w:rsid w:val="4ED837F8"/>
    <w:rsid w:val="56162CC9"/>
    <w:rsid w:val="5FCA1DC6"/>
    <w:rsid w:val="624C3017"/>
    <w:rsid w:val="62E00C71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character" w:customStyle="1" w:styleId="12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2025-05-09T08:42:00Z</dcterms:created>
  <dc:creator>王野苹</dc:creator>
  <cp:lastModifiedBy>王野苹</cp:lastModifiedBy>
  <dcterms:modified xsi:type="dcterms:W3CDTF">2025-05-09T08:43:32Z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DAA509E94BFC409CA343AA6026E8AFC7_13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